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F8EC9" w14:textId="21D101F8" w:rsidR="004F5576" w:rsidRDefault="004A4D5A" w:rsidP="00FC0C49">
      <w:pPr>
        <w:rPr>
          <w:b/>
          <w:bCs/>
        </w:rPr>
      </w:pPr>
      <w:r>
        <w:rPr>
          <w:b/>
          <w:bCs/>
          <w:lang w:val="nl"/>
        </w:rPr>
        <w:t xml:space="preserve">Module 1 – </w:t>
      </w:r>
      <w:r w:rsidR="00FC0C49">
        <w:rPr>
          <w:b/>
          <w:bCs/>
          <w:lang w:val="nl"/>
        </w:rPr>
        <w:t>Haatzaaien begrijpen</w:t>
      </w:r>
    </w:p>
    <w:p w14:paraId="4C0D6335" w14:textId="1BE4E4FB" w:rsidR="00EB5556" w:rsidRDefault="00752E41" w:rsidP="00EB5556">
      <w:pPr>
        <w:pStyle w:val="ListParagraph"/>
        <w:numPr>
          <w:ilvl w:val="0"/>
          <w:numId w:val="2"/>
        </w:numPr>
      </w:pPr>
      <w:r w:rsidRPr="00752E41">
        <w:rPr>
          <w:i/>
          <w:lang w:val="nl"/>
        </w:rPr>
        <w:t>Definitie en rechtsstaat</w:t>
      </w:r>
    </w:p>
    <w:p w14:paraId="7960BAF7" w14:textId="77777777" w:rsidR="0010347D" w:rsidRDefault="00F060BE" w:rsidP="0010347D">
      <w:pPr>
        <w:pStyle w:val="ListParagraph"/>
        <w:numPr>
          <w:ilvl w:val="0"/>
          <w:numId w:val="4"/>
        </w:numPr>
      </w:pPr>
      <w:r>
        <w:rPr>
          <w:lang w:val="nl"/>
        </w:rPr>
        <w:t xml:space="preserve">Definitie van haatzaaien en sociale context </w:t>
      </w:r>
    </w:p>
    <w:p w14:paraId="635B464B" w14:textId="0237013E" w:rsidR="00EB5556" w:rsidRPr="00EB5556" w:rsidRDefault="00EB5556" w:rsidP="00EB5556">
      <w:pPr>
        <w:pStyle w:val="ListParagraph"/>
        <w:numPr>
          <w:ilvl w:val="0"/>
          <w:numId w:val="4"/>
        </w:numPr>
        <w:rPr>
          <w:szCs w:val="24"/>
        </w:rPr>
      </w:pPr>
      <w:r w:rsidRPr="00EB5556">
        <w:rPr>
          <w:szCs w:val="24"/>
          <w:lang w:val="nl"/>
        </w:rPr>
        <w:t>Juridisch kader en kernbeleid</w:t>
      </w:r>
    </w:p>
    <w:p w14:paraId="21B84971" w14:textId="2E153287" w:rsidR="004A4D5A" w:rsidRPr="00F060BE" w:rsidRDefault="0010347D" w:rsidP="0010347D">
      <w:pPr>
        <w:pStyle w:val="ListParagraph"/>
        <w:numPr>
          <w:ilvl w:val="0"/>
          <w:numId w:val="2"/>
        </w:numPr>
      </w:pPr>
      <w:r>
        <w:rPr>
          <w:i/>
          <w:lang w:val="nl"/>
        </w:rPr>
        <w:t>Verschillende</w:t>
      </w:r>
      <w:r w:rsidRPr="0010347D">
        <w:rPr>
          <w:i/>
          <w:lang w:val="nl"/>
        </w:rPr>
        <w:t>vormen van haatzaaien</w:t>
      </w:r>
    </w:p>
    <w:p w14:paraId="4AF4D2FE" w14:textId="67703182" w:rsidR="00F060BE" w:rsidRPr="007F403A" w:rsidRDefault="0010347D" w:rsidP="00820690">
      <w:pPr>
        <w:pStyle w:val="ListParagraph"/>
        <w:numPr>
          <w:ilvl w:val="0"/>
          <w:numId w:val="3"/>
        </w:numPr>
      </w:pPr>
      <w:r>
        <w:rPr>
          <w:lang w:val="nl"/>
        </w:rPr>
        <w:t>Inzicht</w:t>
      </w:r>
      <w:r w:rsidRPr="0010347D">
        <w:rPr>
          <w:lang w:val="nl"/>
        </w:rPr>
        <w:t xml:space="preserve">in deze groep, en hoe </w:t>
      </w:r>
      <w:r w:rsidR="00820690">
        <w:rPr>
          <w:lang w:val="nl"/>
        </w:rPr>
        <w:t>jongeren</w:t>
      </w:r>
      <w:r>
        <w:rPr>
          <w:lang w:val="nl"/>
        </w:rPr>
        <w:t xml:space="preserve"> </w:t>
      </w:r>
      <w:r w:rsidRPr="00820690">
        <w:rPr>
          <w:lang w:val="nl"/>
        </w:rPr>
        <w:t>zich</w:t>
      </w:r>
      <w:r w:rsidRPr="0010347D">
        <w:rPr>
          <w:lang w:val="nl"/>
        </w:rPr>
        <w:t xml:space="preserve"> kunnen presenteren  binnen de context</w:t>
      </w:r>
      <w:r>
        <w:rPr>
          <w:lang w:val="nl"/>
        </w:rPr>
        <w:t>van specifieke geëngageerde groepen</w:t>
      </w:r>
    </w:p>
    <w:p w14:paraId="5A5812CC" w14:textId="1F3D08D5" w:rsidR="007F403A" w:rsidRDefault="007F403A" w:rsidP="00820690">
      <w:pPr>
        <w:pStyle w:val="ListParagraph"/>
        <w:numPr>
          <w:ilvl w:val="0"/>
          <w:numId w:val="3"/>
        </w:numPr>
      </w:pPr>
      <w:r w:rsidRPr="0039458F">
        <w:rPr>
          <w:color w:val="000000"/>
          <w:szCs w:val="24"/>
          <w:lang w:val="nl"/>
        </w:rPr>
        <w:t>Herken haatzaaiende uitlatingen en de impact van haatzaaiende uitlatingen, mogelijke gevolgen en repercussies</w:t>
      </w:r>
    </w:p>
    <w:p w14:paraId="58459303" w14:textId="1906493F" w:rsidR="004A4D5A" w:rsidRPr="00722FF1" w:rsidRDefault="007023CB" w:rsidP="0010347D">
      <w:pPr>
        <w:pStyle w:val="ListParagraph"/>
        <w:numPr>
          <w:ilvl w:val="0"/>
          <w:numId w:val="2"/>
        </w:numPr>
      </w:pPr>
      <w:r>
        <w:rPr>
          <w:i/>
          <w:iCs/>
          <w:lang w:val="nl"/>
        </w:rPr>
        <w:t>Positie</w:t>
      </w:r>
      <w:r w:rsidR="0010347D" w:rsidRPr="0010347D">
        <w:rPr>
          <w:i/>
          <w:lang w:val="nl"/>
        </w:rPr>
        <w:t xml:space="preserve"> en impact van media </w:t>
      </w:r>
      <w:r w:rsidR="00775319">
        <w:rPr>
          <w:i/>
          <w:lang w:val="nl"/>
        </w:rPr>
        <w:t xml:space="preserve">; </w:t>
      </w:r>
      <w:r w:rsidR="0010347D" w:rsidRPr="0010347D">
        <w:rPr>
          <w:i/>
          <w:lang w:val="nl"/>
        </w:rPr>
        <w:t>Social media en online gaming.</w:t>
      </w:r>
    </w:p>
    <w:p w14:paraId="5BFF8342" w14:textId="0B78DEA1" w:rsidR="00722FF1" w:rsidRPr="00842604" w:rsidRDefault="00842604" w:rsidP="00842604">
      <w:pPr>
        <w:pStyle w:val="ListParagraph"/>
        <w:numPr>
          <w:ilvl w:val="0"/>
          <w:numId w:val="3"/>
        </w:numPr>
      </w:pPr>
      <w:r w:rsidRPr="00842604">
        <w:rPr>
          <w:lang w:val="nl"/>
        </w:rPr>
        <w:t xml:space="preserve"> Internet is een plek waar haatzaaien zich kan ontwikkelen.</w:t>
      </w:r>
    </w:p>
    <w:p w14:paraId="37017F5C" w14:textId="0D39AC7E" w:rsidR="00842604" w:rsidRPr="00BD5EAD" w:rsidRDefault="00842604" w:rsidP="00842604">
      <w:pPr>
        <w:pStyle w:val="ListParagraph"/>
        <w:numPr>
          <w:ilvl w:val="0"/>
          <w:numId w:val="3"/>
        </w:numPr>
      </w:pPr>
      <w:r>
        <w:rPr>
          <w:lang w:val="nl"/>
        </w:rPr>
        <w:t xml:space="preserve">Goede praktijken om online haatzaaiende uitlatingen te begrijpen </w:t>
      </w:r>
    </w:p>
    <w:p w14:paraId="269E403E" w14:textId="21CF3BB6" w:rsidR="004A4D5A" w:rsidRPr="00BD5EAD" w:rsidRDefault="004A4D5A" w:rsidP="00BD5EAD">
      <w:pPr>
        <w:pStyle w:val="ListParagraph"/>
        <w:ind w:left="1440"/>
      </w:pP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524"/>
        <w:gridCol w:w="2613"/>
        <w:gridCol w:w="2627"/>
        <w:gridCol w:w="2533"/>
        <w:gridCol w:w="2313"/>
      </w:tblGrid>
      <w:tr w:rsidR="004A4D5A" w:rsidRPr="007D04D0" w14:paraId="44A3B7C7" w14:textId="77777777" w:rsidTr="00AA672C">
        <w:trPr>
          <w:trHeight w:val="547"/>
        </w:trPr>
        <w:tc>
          <w:tcPr>
            <w:tcW w:w="524" w:type="dxa"/>
            <w:vMerge w:val="restart"/>
          </w:tcPr>
          <w:p w14:paraId="2CB7DDC1" w14:textId="77777777" w:rsidR="004A4D5A" w:rsidRPr="003F3088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  <w:lang w:val="nl-NL"/>
              </w:rPr>
            </w:pPr>
          </w:p>
        </w:tc>
        <w:tc>
          <w:tcPr>
            <w:tcW w:w="1598" w:type="dxa"/>
            <w:vMerge w:val="restart"/>
          </w:tcPr>
          <w:p w14:paraId="24C309EF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Module</w:t>
            </w:r>
            <w:r>
              <w:rPr>
                <w:b/>
                <w:bCs/>
                <w:lang w:val="nl"/>
              </w:rPr>
              <w:t>/Eenheid</w:t>
            </w:r>
          </w:p>
        </w:tc>
        <w:tc>
          <w:tcPr>
            <w:tcW w:w="8221" w:type="dxa"/>
            <w:gridSpan w:val="3"/>
          </w:tcPr>
          <w:p w14:paraId="6960E0FA" w14:textId="77777777" w:rsidR="004A4D5A" w:rsidRPr="007D04D0" w:rsidRDefault="004A4D5A" w:rsidP="00055D07">
            <w:pPr>
              <w:spacing w:beforeLines="40" w:before="96" w:afterLines="40" w:after="96"/>
              <w:jc w:val="center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Leerdoelstellingen</w:t>
            </w:r>
            <w:r w:rsidRPr="007D04D0">
              <w:rPr>
                <w:rStyle w:val="FootnoteReference"/>
                <w:b/>
                <w:bCs/>
                <w:lang w:val="nl"/>
              </w:rPr>
              <w:footnoteReference w:id="1"/>
            </w:r>
          </w:p>
        </w:tc>
      </w:tr>
      <w:tr w:rsidR="006E5BED" w:rsidRPr="00747C76" w14:paraId="7FD8E76B" w14:textId="77777777" w:rsidTr="00AA672C">
        <w:trPr>
          <w:trHeight w:val="555"/>
        </w:trPr>
        <w:tc>
          <w:tcPr>
            <w:tcW w:w="524" w:type="dxa"/>
            <w:vMerge/>
          </w:tcPr>
          <w:p w14:paraId="57CE28C7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</w:tc>
        <w:tc>
          <w:tcPr>
            <w:tcW w:w="1598" w:type="dxa"/>
            <w:vMerge/>
          </w:tcPr>
          <w:p w14:paraId="1AFF522E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</w:tc>
        <w:tc>
          <w:tcPr>
            <w:tcW w:w="2546" w:type="dxa"/>
          </w:tcPr>
          <w:p w14:paraId="50007A2A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Kennis</w:t>
            </w:r>
          </w:p>
        </w:tc>
        <w:tc>
          <w:tcPr>
            <w:tcW w:w="2516" w:type="dxa"/>
          </w:tcPr>
          <w:p w14:paraId="3D5B73BA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Vaardigheden</w:t>
            </w:r>
          </w:p>
        </w:tc>
        <w:tc>
          <w:tcPr>
            <w:tcW w:w="3159" w:type="dxa"/>
          </w:tcPr>
          <w:p w14:paraId="78737192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A</w:t>
            </w:r>
            <w:r>
              <w:rPr>
                <w:b/>
                <w:bCs/>
                <w:lang w:val="nl"/>
              </w:rPr>
              <w:t>t</w:t>
            </w:r>
            <w:r w:rsidRPr="007D04D0">
              <w:rPr>
                <w:b/>
                <w:bCs/>
                <w:lang w:val="nl"/>
              </w:rPr>
              <w:t>titudes</w:t>
            </w:r>
          </w:p>
        </w:tc>
      </w:tr>
      <w:tr w:rsidR="006E5BED" w:rsidRPr="003F3088" w14:paraId="6F14A578" w14:textId="77777777" w:rsidTr="00AA672C">
        <w:tc>
          <w:tcPr>
            <w:tcW w:w="524" w:type="dxa"/>
          </w:tcPr>
          <w:p w14:paraId="3F32FDF7" w14:textId="77777777" w:rsidR="004A4D5A" w:rsidRPr="007D04D0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 w:rsidRPr="007D04D0">
              <w:rPr>
                <w:b/>
                <w:bCs/>
                <w:lang w:val="nl"/>
              </w:rPr>
              <w:t>1</w:t>
            </w:r>
          </w:p>
        </w:tc>
        <w:tc>
          <w:tcPr>
            <w:tcW w:w="1598" w:type="dxa"/>
          </w:tcPr>
          <w:p w14:paraId="2245BD95" w14:textId="77777777" w:rsidR="004A4D5A" w:rsidRPr="003F3088" w:rsidRDefault="004A4D5A" w:rsidP="00055D07">
            <w:pPr>
              <w:spacing w:beforeLines="40" w:before="96" w:afterLines="40" w:after="96"/>
              <w:rPr>
                <w:rFonts w:cstheme="minorHAnsi"/>
                <w:b/>
                <w:bCs/>
                <w:lang w:val="nl-NL"/>
              </w:rPr>
            </w:pPr>
            <w:r>
              <w:rPr>
                <w:b/>
                <w:bCs/>
                <w:lang w:val="nl"/>
              </w:rPr>
              <w:t>Titel van de module</w:t>
            </w:r>
          </w:p>
          <w:p w14:paraId="6886B03A" w14:textId="36A336C9" w:rsidR="004A4D5A" w:rsidRPr="003F3088" w:rsidRDefault="001D5B68" w:rsidP="00055D07">
            <w:pPr>
              <w:spacing w:beforeLines="40" w:before="96" w:afterLines="40" w:after="96"/>
              <w:rPr>
                <w:rFonts w:cstheme="minorHAnsi"/>
                <w:b/>
                <w:bCs/>
                <w:szCs w:val="24"/>
                <w:lang w:val="nl-NL"/>
              </w:rPr>
            </w:pPr>
            <w:r>
              <w:rPr>
                <w:color w:val="201F1E"/>
                <w:lang w:val="nl"/>
              </w:rPr>
              <w:t>Haatzaaien begrijpen</w:t>
            </w:r>
          </w:p>
        </w:tc>
        <w:tc>
          <w:tcPr>
            <w:tcW w:w="2546" w:type="dxa"/>
          </w:tcPr>
          <w:p w14:paraId="12239CA1" w14:textId="77777777" w:rsidR="004A4D5A" w:rsidRPr="003F3088" w:rsidRDefault="004A4D5A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  <w:r w:rsidRPr="007D04D0">
              <w:rPr>
                <w:lang w:val="nl"/>
              </w:rPr>
              <w:t xml:space="preserve">Aan het einde van de module moeten deelnemers in staat zijn om... </w:t>
            </w:r>
          </w:p>
        </w:tc>
        <w:tc>
          <w:tcPr>
            <w:tcW w:w="2516" w:type="dxa"/>
          </w:tcPr>
          <w:p w14:paraId="7B3C941E" w14:textId="77777777" w:rsidR="004A4D5A" w:rsidRPr="003F3088" w:rsidRDefault="004A4D5A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  <w:r w:rsidRPr="007D04D0">
              <w:rPr>
                <w:lang w:val="nl"/>
              </w:rPr>
              <w:t>Aan het einde van de module moeten deelnemers in staat zijn om...</w:t>
            </w:r>
          </w:p>
        </w:tc>
        <w:tc>
          <w:tcPr>
            <w:tcW w:w="3159" w:type="dxa"/>
          </w:tcPr>
          <w:p w14:paraId="5E0B359D" w14:textId="77777777" w:rsidR="004A4D5A" w:rsidRPr="003F3088" w:rsidRDefault="004A4D5A" w:rsidP="00055D07">
            <w:pPr>
              <w:spacing w:beforeLines="40" w:before="96" w:afterLines="40" w:after="96"/>
              <w:rPr>
                <w:rFonts w:cstheme="minorHAnsi"/>
                <w:bCs/>
                <w:lang w:val="nl-NL"/>
              </w:rPr>
            </w:pPr>
            <w:r w:rsidRPr="007D04D0">
              <w:rPr>
                <w:bCs/>
                <w:lang w:val="nl"/>
              </w:rPr>
              <w:t>De module is gericht op het cultiveren van de volgende attitudes:</w:t>
            </w:r>
          </w:p>
        </w:tc>
      </w:tr>
      <w:tr w:rsidR="006E5BED" w:rsidRPr="003F3088" w14:paraId="2239B3D4" w14:textId="77777777" w:rsidTr="00AA672C">
        <w:tc>
          <w:tcPr>
            <w:tcW w:w="524" w:type="dxa"/>
          </w:tcPr>
          <w:p w14:paraId="3D8E5614" w14:textId="05B38760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>
              <w:rPr>
                <w:b/>
                <w:bCs/>
                <w:lang w:val="nl"/>
              </w:rPr>
              <w:t>1.1</w:t>
            </w:r>
          </w:p>
          <w:p w14:paraId="60701FA6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3364EE0F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1D4A5B0A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579218DB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9090023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1F83782C" w14:textId="77777777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24EE6DB6" w14:textId="1D130163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D28FA5E" w14:textId="2819EC53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058BEF84" w14:textId="647059BE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52FB01B" w14:textId="5183CCBB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402CFB7" w14:textId="1B2511BD" w:rsidR="007D5577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82652F8" w14:textId="7149E472" w:rsidR="00485487" w:rsidRDefault="0048548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3ACDE4AC" w14:textId="07CA6CAF" w:rsidR="00485487" w:rsidRDefault="0048548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BB83303" w14:textId="0991B906" w:rsidR="00485487" w:rsidRDefault="0048548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3673D936" w14:textId="1560AF7E" w:rsidR="009B127B" w:rsidRDefault="009B127B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39393FDA" w14:textId="6453682F" w:rsidR="009B127B" w:rsidRDefault="009B127B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ED0B2AE" w14:textId="77777777" w:rsidR="009B127B" w:rsidRDefault="009B127B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2A52C1C9" w14:textId="77777777" w:rsidR="008E0FAC" w:rsidRDefault="008E0FAC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D8FD222" w14:textId="77777777" w:rsidR="008E0FAC" w:rsidRDefault="008E0FAC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117D664E" w14:textId="77777777" w:rsidR="008E0FAC" w:rsidRDefault="008E0FAC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12CA6CDF" w14:textId="77777777" w:rsidR="008E0FAC" w:rsidRDefault="008E0FAC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2A108928" w14:textId="6F713AF3" w:rsidR="004A4D5A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>
              <w:rPr>
                <w:b/>
                <w:bCs/>
                <w:lang w:val="nl"/>
              </w:rPr>
              <w:t>1.2</w:t>
            </w:r>
          </w:p>
          <w:p w14:paraId="2C0AE664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BB32C72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266051A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D65DA44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B900A89" w14:textId="1273CB1D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F43E588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09C9C60" w14:textId="58FF77E1" w:rsidR="00AA672C" w:rsidRDefault="00AA672C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5BA6CD07" w14:textId="29145AAA" w:rsidR="00C7641D" w:rsidRDefault="00C7641D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415EBBD" w14:textId="08019B76" w:rsidR="00C7641D" w:rsidRDefault="00C7641D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40B5C3A0" w14:textId="08E53077" w:rsidR="00C7641D" w:rsidRDefault="00C7641D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5B80FA21" w14:textId="2F9E23BD" w:rsidR="00495CBF" w:rsidRDefault="00495CBF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0CDD363" w14:textId="533372FA" w:rsidR="00495CBF" w:rsidRDefault="00495CBF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77CEBDE1" w14:textId="51575181" w:rsidR="00495CBF" w:rsidRDefault="00495CBF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1DDEA9F1" w14:textId="022A417F" w:rsidR="00495CBF" w:rsidRDefault="00495CBF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16E169A" w14:textId="77777777" w:rsidR="00495CBF" w:rsidRDefault="00495CBF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D442AEE" w14:textId="7EC44F84" w:rsidR="00CE3292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  <w:r>
              <w:rPr>
                <w:b/>
                <w:bCs/>
                <w:lang w:val="nl"/>
              </w:rPr>
              <w:lastRenderedPageBreak/>
              <w:t>1.3</w:t>
            </w:r>
          </w:p>
          <w:p w14:paraId="275515FE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405DDF8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2D42C870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6A866906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3120B0E7" w14:textId="6C4D2AA8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081A3847" w14:textId="77777777" w:rsidR="00CE3292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  <w:p w14:paraId="061CD9D8" w14:textId="4E2F4FEE" w:rsidR="00CE3292" w:rsidRPr="007D04D0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</w:rPr>
            </w:pPr>
          </w:p>
        </w:tc>
        <w:tc>
          <w:tcPr>
            <w:tcW w:w="1598" w:type="dxa"/>
          </w:tcPr>
          <w:p w14:paraId="62444488" w14:textId="2C6D8FC2" w:rsidR="007D5577" w:rsidRPr="003F3088" w:rsidRDefault="00771C7B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  <w:r>
              <w:rPr>
                <w:lang w:val="nl"/>
              </w:rPr>
              <w:lastRenderedPageBreak/>
              <w:t>•</w:t>
            </w:r>
            <w:r w:rsidRPr="00771C7B">
              <w:rPr>
                <w:lang w:val="nl"/>
              </w:rPr>
              <w:t>Inzicht in juridische definities en de rechtsstaat</w:t>
            </w:r>
          </w:p>
          <w:p w14:paraId="33A31CEA" w14:textId="77777777" w:rsidR="007D5577" w:rsidRPr="003F3088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2B258A4" w14:textId="77777777" w:rsidR="007D5577" w:rsidRPr="003F3088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69552F6C" w14:textId="77777777" w:rsidR="007D5577" w:rsidRPr="003F3088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0D984C8" w14:textId="77777777" w:rsidR="007D5577" w:rsidRPr="003F3088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05B73E31" w14:textId="3C04DF19" w:rsidR="007D5577" w:rsidRPr="003F3088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21EF85AB" w14:textId="7CE7C4D0" w:rsidR="007D5577" w:rsidRPr="003F3088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62765BA4" w14:textId="71A69AFC" w:rsidR="007D5577" w:rsidRPr="003F3088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1F94B1C8" w14:textId="77740C2A" w:rsidR="007D5577" w:rsidRPr="003F3088" w:rsidRDefault="007D557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3A038E6F" w14:textId="357C16CF" w:rsidR="00485487" w:rsidRPr="003F3088" w:rsidRDefault="0048548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7483DEE9" w14:textId="020B7713" w:rsidR="00485487" w:rsidRPr="003F3088" w:rsidRDefault="0048548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0CE3D312" w14:textId="3A488530" w:rsidR="00485487" w:rsidRPr="003F3088" w:rsidRDefault="00485487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0B2A44D4" w14:textId="6F9F29F1" w:rsidR="009B127B" w:rsidRPr="003F3088" w:rsidRDefault="009B127B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4818F3D8" w14:textId="004F7186" w:rsidR="009B127B" w:rsidRPr="003F3088" w:rsidRDefault="009B127B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02C2E32C" w14:textId="77777777" w:rsidR="009B127B" w:rsidRPr="003F3088" w:rsidRDefault="009B127B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43E1121D" w14:textId="645A7677" w:rsidR="008E0FAC" w:rsidRPr="003F3088" w:rsidRDefault="009E0989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  <w:r w:rsidRPr="003F3088">
              <w:rPr>
                <w:rFonts w:cstheme="minorHAnsi"/>
                <w:lang w:val="nl-NL"/>
              </w:rPr>
              <w:tab/>
            </w:r>
          </w:p>
          <w:p w14:paraId="60157413" w14:textId="77777777" w:rsidR="008E0FAC" w:rsidRPr="003F3088" w:rsidRDefault="008E0FAC" w:rsidP="00055D07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08E76D11" w14:textId="77777777" w:rsidR="008E0FAC" w:rsidRPr="008E0FAC" w:rsidRDefault="008E0FAC" w:rsidP="008E0FAC">
            <w:pPr>
              <w:pStyle w:val="ListParagraph"/>
              <w:spacing w:beforeLines="40" w:before="96" w:afterLines="40" w:after="96"/>
              <w:rPr>
                <w:rFonts w:eastAsia="Calibri" w:cstheme="minorHAnsi"/>
              </w:rPr>
            </w:pPr>
          </w:p>
          <w:p w14:paraId="18D72C68" w14:textId="77777777" w:rsidR="008E0FAC" w:rsidRDefault="008E0FAC" w:rsidP="008E0FAC">
            <w:pPr>
              <w:pStyle w:val="ListParagraph"/>
              <w:spacing w:beforeLines="40" w:before="96" w:afterLines="40" w:after="96"/>
              <w:rPr>
                <w:rFonts w:eastAsia="Calibri" w:cstheme="minorHAnsi"/>
              </w:rPr>
            </w:pPr>
          </w:p>
          <w:p w14:paraId="631F51AE" w14:textId="77777777" w:rsidR="0039458F" w:rsidRPr="003F3088" w:rsidRDefault="0039458F" w:rsidP="000371DA">
            <w:pPr>
              <w:spacing w:beforeLines="40" w:before="96" w:afterLines="40" w:after="96"/>
              <w:rPr>
                <w:rFonts w:cstheme="minorHAnsi"/>
                <w:lang w:val="nl-NL"/>
              </w:rPr>
            </w:pPr>
          </w:p>
          <w:p w14:paraId="3BC737C7" w14:textId="1B94D42A" w:rsidR="007D5577" w:rsidRPr="008E0FAC" w:rsidRDefault="009E0989" w:rsidP="008E0FAC">
            <w:pPr>
              <w:pStyle w:val="ListParagraph"/>
              <w:numPr>
                <w:ilvl w:val="0"/>
                <w:numId w:val="6"/>
              </w:numPr>
              <w:spacing w:beforeLines="40" w:before="96" w:afterLines="40" w:after="96"/>
              <w:rPr>
                <w:rFonts w:eastAsia="Calibri" w:cstheme="minorHAnsi"/>
              </w:rPr>
            </w:pPr>
            <w:r w:rsidRPr="008E0FAC">
              <w:rPr>
                <w:lang w:val="nl"/>
              </w:rPr>
              <w:t>Verschillende vormen van haatzaaien</w:t>
            </w:r>
          </w:p>
          <w:p w14:paraId="5AC67908" w14:textId="0B1E0DF6" w:rsidR="007D5577" w:rsidRDefault="007D5577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1B0A58FB" w14:textId="77045B04" w:rsidR="007D5577" w:rsidRDefault="007D5577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7D248D61" w14:textId="7E50B5D9" w:rsidR="007D5577" w:rsidRDefault="007D5577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7BE63EF7" w14:textId="0F278A91" w:rsidR="007D5577" w:rsidRDefault="007D5577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7AFB8549" w14:textId="1E352C98" w:rsidR="00C7641D" w:rsidRDefault="00C7641D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78FC8C6C" w14:textId="0BA3F6D6" w:rsidR="00C7641D" w:rsidRDefault="00C7641D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2C411CED" w14:textId="7E3DDE64" w:rsidR="00C7641D" w:rsidRDefault="00C7641D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2689A0A9" w14:textId="16F407C3" w:rsidR="00495CBF" w:rsidRDefault="00495CBF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2ADA8122" w14:textId="1B98BF29" w:rsidR="00495CBF" w:rsidRDefault="00495CBF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4DEA3826" w14:textId="2D78E2BF" w:rsidR="00495CBF" w:rsidRDefault="00495CBF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119F842B" w14:textId="576604CF" w:rsidR="00495CBF" w:rsidRDefault="00495CBF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7FD3647E" w14:textId="6BC33A2B" w:rsidR="00495CBF" w:rsidRDefault="00495CBF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3B9B8253" w14:textId="77777777" w:rsidR="00495CBF" w:rsidRDefault="00495CBF" w:rsidP="00055D07">
            <w:pPr>
              <w:spacing w:beforeLines="40" w:before="96" w:afterLines="40" w:after="96"/>
              <w:rPr>
                <w:rFonts w:cstheme="minorHAnsi"/>
              </w:rPr>
            </w:pPr>
          </w:p>
          <w:p w14:paraId="2A002E73" w14:textId="61DFCC36" w:rsidR="004A4D5A" w:rsidRPr="009E0989" w:rsidRDefault="009E0989" w:rsidP="009E0989">
            <w:pPr>
              <w:spacing w:beforeLines="40" w:before="96" w:afterLines="40" w:after="96" w:line="240" w:lineRule="auto"/>
              <w:rPr>
                <w:rFonts w:cstheme="minorHAnsi"/>
              </w:rPr>
            </w:pPr>
            <w:r>
              <w:rPr>
                <w:lang w:val="nl"/>
              </w:rPr>
              <w:t>S</w:t>
            </w:r>
            <w:r w:rsidRPr="009E0989">
              <w:rPr>
                <w:lang w:val="nl"/>
              </w:rPr>
              <w:t xml:space="preserve">ociale media en online </w:t>
            </w:r>
            <w:r w:rsidRPr="009E0989">
              <w:rPr>
                <w:lang w:val="nl"/>
              </w:rPr>
              <w:lastRenderedPageBreak/>
              <w:t xml:space="preserve">gaming </w:t>
            </w:r>
          </w:p>
          <w:p w14:paraId="67F87AFC" w14:textId="77777777" w:rsidR="004A4D5A" w:rsidRDefault="004A4D5A" w:rsidP="00CE3292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</w:rPr>
            </w:pPr>
          </w:p>
          <w:p w14:paraId="1D9CB09C" w14:textId="77777777" w:rsidR="00CE3292" w:rsidRDefault="00CE3292" w:rsidP="00CE3292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</w:rPr>
            </w:pPr>
          </w:p>
          <w:p w14:paraId="108C1270" w14:textId="77777777" w:rsidR="00CE3292" w:rsidRDefault="00CE3292" w:rsidP="00CE3292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</w:rPr>
            </w:pPr>
          </w:p>
          <w:p w14:paraId="528B9686" w14:textId="77777777" w:rsidR="00CE3292" w:rsidRDefault="00CE3292" w:rsidP="00CE3292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</w:rPr>
            </w:pPr>
          </w:p>
          <w:p w14:paraId="210E28E9" w14:textId="676A55FB" w:rsidR="00CE3292" w:rsidRPr="00326837" w:rsidRDefault="00CE3292" w:rsidP="00CE3292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</w:rPr>
            </w:pPr>
          </w:p>
        </w:tc>
        <w:tc>
          <w:tcPr>
            <w:tcW w:w="2546" w:type="dxa"/>
          </w:tcPr>
          <w:p w14:paraId="0F7F3C16" w14:textId="7341FF01" w:rsidR="00056412" w:rsidRDefault="00056412" w:rsidP="00056412">
            <w:pPr>
              <w:pStyle w:val="ListParagraph"/>
              <w:numPr>
                <w:ilvl w:val="0"/>
                <w:numId w:val="5"/>
              </w:numPr>
              <w:spacing w:beforeLines="40" w:before="96" w:afterLines="40" w:after="96"/>
              <w:rPr>
                <w:rFonts w:eastAsia="Calibri"/>
                <w:color w:val="000000"/>
                <w:szCs w:val="24"/>
              </w:rPr>
            </w:pPr>
            <w:r>
              <w:rPr>
                <w:color w:val="000000"/>
                <w:szCs w:val="24"/>
                <w:lang w:val="nl"/>
              </w:rPr>
              <w:lastRenderedPageBreak/>
              <w:t>Weet dat h</w:t>
            </w:r>
            <w:r w:rsidRPr="00056412">
              <w:rPr>
                <w:color w:val="000000"/>
                <w:szCs w:val="24"/>
                <w:lang w:val="nl"/>
              </w:rPr>
              <w:t>bij</w:t>
            </w:r>
            <w:r>
              <w:rPr>
                <w:color w:val="000000"/>
                <w:szCs w:val="24"/>
                <w:lang w:val="nl"/>
              </w:rPr>
              <w:t>e</w:t>
            </w:r>
            <w:r w:rsidRPr="00056412">
              <w:rPr>
                <w:color w:val="000000"/>
                <w:szCs w:val="24"/>
                <w:lang w:val="nl"/>
              </w:rPr>
              <w:t xml:space="preserve"> geen simpele afkeer is, maar wel discriminatie.</w:t>
            </w:r>
          </w:p>
          <w:p w14:paraId="712B01F9" w14:textId="3EC87470" w:rsidR="00385A25" w:rsidRPr="00A4254B" w:rsidRDefault="00056412" w:rsidP="00A4254B">
            <w:pPr>
              <w:pStyle w:val="ListParagraph"/>
              <w:numPr>
                <w:ilvl w:val="0"/>
                <w:numId w:val="5"/>
              </w:numPr>
              <w:spacing w:beforeLines="40" w:before="96" w:afterLines="40" w:after="96"/>
              <w:rPr>
                <w:rFonts w:eastAsia="Calibri"/>
                <w:color w:val="000000"/>
                <w:szCs w:val="24"/>
              </w:rPr>
            </w:pPr>
            <w:r>
              <w:rPr>
                <w:color w:val="000000"/>
                <w:szCs w:val="24"/>
                <w:lang w:val="nl"/>
              </w:rPr>
              <w:t xml:space="preserve">Wees je bewust van </w:t>
            </w:r>
            <w:r w:rsidR="00A4254B" w:rsidRPr="00A4254B">
              <w:rPr>
                <w:color w:val="000000"/>
                <w:szCs w:val="24"/>
                <w:lang w:val="nl"/>
              </w:rPr>
              <w:t>haatzaaien</w:t>
            </w:r>
            <w:r>
              <w:rPr>
                <w:color w:val="000000"/>
                <w:szCs w:val="24"/>
                <w:lang w:val="nl"/>
              </w:rPr>
              <w:t xml:space="preserve"> als een fenomeen dat </w:t>
            </w:r>
            <w:r w:rsidR="00A4254B" w:rsidRPr="00A4254B">
              <w:rPr>
                <w:color w:val="000000"/>
                <w:szCs w:val="24"/>
                <w:lang w:val="nl"/>
              </w:rPr>
              <w:t xml:space="preserve">de uitdrukking van meningen, </w:t>
            </w:r>
            <w:r w:rsidR="00A4254B" w:rsidRPr="00A4254B">
              <w:rPr>
                <w:color w:val="000000"/>
                <w:szCs w:val="24"/>
                <w:lang w:val="nl"/>
              </w:rPr>
              <w:lastRenderedPageBreak/>
              <w:t>ideeën en gevoelens omvat, niet alleen verbaal, maar ook door middel van andere vormen</w:t>
            </w:r>
            <w:r>
              <w:rPr>
                <w:color w:val="000000"/>
                <w:szCs w:val="24"/>
                <w:lang w:val="nl"/>
              </w:rPr>
              <w:t>zoals afbeeldingen, kunst en teksten enz.</w:t>
            </w:r>
          </w:p>
          <w:p w14:paraId="52DFE850" w14:textId="77777777" w:rsidR="007D5577" w:rsidRPr="007D5577" w:rsidRDefault="007D5577" w:rsidP="007D5577">
            <w:pPr>
              <w:pStyle w:val="ListParagraph"/>
              <w:spacing w:beforeLines="40" w:before="96" w:afterLines="40" w:after="96"/>
              <w:rPr>
                <w:rFonts w:cstheme="minorHAnsi"/>
              </w:rPr>
            </w:pPr>
          </w:p>
          <w:p w14:paraId="6B929259" w14:textId="7E6DA025" w:rsidR="007D5577" w:rsidRDefault="007D5577" w:rsidP="007D5577">
            <w:pPr>
              <w:pStyle w:val="ListParagraph"/>
              <w:rPr>
                <w:rFonts w:cstheme="minorHAnsi"/>
              </w:rPr>
            </w:pPr>
          </w:p>
          <w:p w14:paraId="5AF26381" w14:textId="77777777" w:rsidR="008E0FAC" w:rsidRPr="003F3088" w:rsidRDefault="008E0FAC" w:rsidP="00713938">
            <w:pPr>
              <w:rPr>
                <w:rFonts w:cstheme="minorHAnsi"/>
                <w:lang w:val="nl-NL"/>
              </w:rPr>
            </w:pPr>
          </w:p>
          <w:p w14:paraId="2800B692" w14:textId="02333978" w:rsidR="009B127B" w:rsidRPr="008E0FAC" w:rsidRDefault="008F2546" w:rsidP="008E0FAC">
            <w:pPr>
              <w:pStyle w:val="ListParagraph"/>
              <w:numPr>
                <w:ilvl w:val="0"/>
                <w:numId w:val="5"/>
              </w:numPr>
              <w:rPr>
                <w:rFonts w:eastAsia="Calibri" w:cstheme="minorHAnsi"/>
              </w:rPr>
            </w:pPr>
            <w:r w:rsidRPr="008E0FAC">
              <w:rPr>
                <w:lang w:val="nl"/>
              </w:rPr>
              <w:t>Haatzaaiende uitlatingen zijn gericht op beschermde kenmerken van individuen of groepen</w:t>
            </w:r>
          </w:p>
          <w:p w14:paraId="55D3D2BD" w14:textId="5763B4B8" w:rsidR="009B127B" w:rsidRDefault="009B127B" w:rsidP="007D5577">
            <w:pPr>
              <w:pStyle w:val="ListParagraph"/>
              <w:rPr>
                <w:rFonts w:cstheme="minorHAnsi"/>
              </w:rPr>
            </w:pPr>
          </w:p>
          <w:p w14:paraId="2718EC42" w14:textId="022C6BA9" w:rsidR="009B127B" w:rsidRDefault="009B127B" w:rsidP="007D5577">
            <w:pPr>
              <w:pStyle w:val="ListParagraph"/>
              <w:rPr>
                <w:rFonts w:cstheme="minorHAnsi"/>
              </w:rPr>
            </w:pPr>
          </w:p>
          <w:p w14:paraId="7D2AD109" w14:textId="77777777" w:rsidR="009B127B" w:rsidRDefault="009B127B" w:rsidP="007D5577">
            <w:pPr>
              <w:pStyle w:val="ListParagraph"/>
              <w:rPr>
                <w:rFonts w:cstheme="minorHAnsi"/>
              </w:rPr>
            </w:pPr>
          </w:p>
          <w:p w14:paraId="42C7B51C" w14:textId="77777777" w:rsidR="00AA672C" w:rsidRDefault="00AA672C" w:rsidP="00647B4A">
            <w:pPr>
              <w:spacing w:beforeLines="40" w:before="96" w:afterLines="40" w:after="96"/>
              <w:rPr>
                <w:rFonts w:eastAsiaTheme="minorEastAsia" w:cstheme="minorHAnsi"/>
                <w:lang w:val="sl-SI"/>
              </w:rPr>
            </w:pPr>
          </w:p>
          <w:p w14:paraId="027BCD3D" w14:textId="77777777" w:rsidR="00647B4A" w:rsidRDefault="00647B4A" w:rsidP="00647B4A">
            <w:pPr>
              <w:spacing w:beforeLines="40" w:before="96" w:afterLines="40" w:after="96"/>
              <w:rPr>
                <w:rFonts w:eastAsiaTheme="minorEastAsia" w:cstheme="minorHAnsi"/>
                <w:lang w:val="sl-SI"/>
              </w:rPr>
            </w:pPr>
          </w:p>
          <w:p w14:paraId="627D5D5F" w14:textId="77777777" w:rsidR="00647B4A" w:rsidRDefault="00647B4A" w:rsidP="00647B4A">
            <w:pPr>
              <w:spacing w:beforeLines="40" w:before="96" w:afterLines="40" w:after="96"/>
              <w:rPr>
                <w:rFonts w:eastAsiaTheme="minorEastAsia" w:cstheme="minorHAnsi"/>
                <w:lang w:val="sl-SI"/>
              </w:rPr>
            </w:pPr>
          </w:p>
          <w:p w14:paraId="7E73F8E6" w14:textId="77777777" w:rsidR="00647B4A" w:rsidRDefault="00647B4A" w:rsidP="00647B4A">
            <w:pPr>
              <w:spacing w:beforeLines="40" w:before="96" w:afterLines="40" w:after="96"/>
              <w:rPr>
                <w:rFonts w:eastAsiaTheme="minorEastAsia" w:cstheme="minorHAnsi"/>
                <w:lang w:val="sl-SI"/>
              </w:rPr>
            </w:pPr>
          </w:p>
          <w:p w14:paraId="42209C45" w14:textId="77777777" w:rsidR="00647B4A" w:rsidRDefault="00647B4A" w:rsidP="00647B4A">
            <w:pPr>
              <w:spacing w:beforeLines="40" w:before="96" w:afterLines="40" w:after="96"/>
              <w:rPr>
                <w:rFonts w:eastAsiaTheme="minorEastAsia" w:cstheme="minorHAnsi"/>
                <w:lang w:val="sl-SI"/>
              </w:rPr>
            </w:pPr>
          </w:p>
          <w:p w14:paraId="7817E1B3" w14:textId="77777777" w:rsidR="00647B4A" w:rsidRDefault="00647B4A" w:rsidP="00647B4A">
            <w:pPr>
              <w:spacing w:beforeLines="40" w:before="96" w:afterLines="40" w:after="96"/>
              <w:rPr>
                <w:rFonts w:eastAsiaTheme="minorEastAsia" w:cstheme="minorHAnsi"/>
                <w:lang w:val="sl-SI"/>
              </w:rPr>
            </w:pPr>
          </w:p>
          <w:p w14:paraId="473A79AD" w14:textId="77777777" w:rsidR="00647B4A" w:rsidRDefault="00647B4A" w:rsidP="00647B4A">
            <w:pPr>
              <w:spacing w:beforeLines="40" w:before="96" w:afterLines="40" w:after="96"/>
              <w:rPr>
                <w:rFonts w:eastAsiaTheme="minorEastAsia" w:cstheme="minorHAnsi"/>
                <w:lang w:val="sl-SI"/>
              </w:rPr>
            </w:pPr>
          </w:p>
          <w:p w14:paraId="24D617B0" w14:textId="77777777" w:rsidR="008B32C6" w:rsidRDefault="008B32C6" w:rsidP="008B32C6">
            <w:pPr>
              <w:pStyle w:val="ListParagraph"/>
              <w:spacing w:beforeLines="40" w:before="96" w:afterLines="40" w:after="96"/>
              <w:rPr>
                <w:rFonts w:eastAsia="Calibri" w:cstheme="minorHAnsi"/>
              </w:rPr>
            </w:pPr>
          </w:p>
          <w:p w14:paraId="44577D8C" w14:textId="2550EF37" w:rsidR="008B32C6" w:rsidRDefault="008B32C6" w:rsidP="008B32C6">
            <w:pPr>
              <w:pStyle w:val="ListParagraph"/>
              <w:spacing w:beforeLines="40" w:before="96" w:afterLines="40" w:after="96"/>
              <w:rPr>
                <w:rFonts w:eastAsia="Calibri" w:cstheme="minorHAnsi"/>
              </w:rPr>
            </w:pPr>
          </w:p>
          <w:p w14:paraId="2CF5E50D" w14:textId="77777777" w:rsidR="0085213E" w:rsidRDefault="0085213E" w:rsidP="008B32C6">
            <w:pPr>
              <w:pStyle w:val="ListParagraph"/>
              <w:spacing w:beforeLines="40" w:before="96" w:afterLines="40" w:after="96"/>
              <w:rPr>
                <w:rFonts w:eastAsia="Calibri" w:cstheme="minorHAnsi"/>
              </w:rPr>
            </w:pPr>
          </w:p>
          <w:p w14:paraId="374426B8" w14:textId="6AC501D6" w:rsidR="00647B4A" w:rsidRPr="00647B4A" w:rsidRDefault="00647B4A" w:rsidP="00647B4A">
            <w:pPr>
              <w:pStyle w:val="ListParagraph"/>
              <w:numPr>
                <w:ilvl w:val="0"/>
                <w:numId w:val="5"/>
              </w:numPr>
              <w:spacing w:beforeLines="40" w:before="96" w:afterLines="40" w:after="96"/>
              <w:rPr>
                <w:rFonts w:eastAsia="Calibri" w:cstheme="minorHAnsi"/>
              </w:rPr>
            </w:pPr>
            <w:r>
              <w:rPr>
                <w:lang w:val="nl"/>
              </w:rPr>
              <w:lastRenderedPageBreak/>
              <w:t>I</w:t>
            </w:r>
            <w:r w:rsidRPr="00647B4A">
              <w:rPr>
                <w:lang w:val="nl"/>
              </w:rPr>
              <w:t>nternet is een plek waar haatzaaien zich kan ontwikkelen</w:t>
            </w:r>
            <w:r>
              <w:rPr>
                <w:lang w:val="nl"/>
              </w:rPr>
              <w:t>.</w:t>
            </w:r>
          </w:p>
        </w:tc>
        <w:tc>
          <w:tcPr>
            <w:tcW w:w="2516" w:type="dxa"/>
          </w:tcPr>
          <w:p w14:paraId="51C1574F" w14:textId="032E73C7" w:rsidR="007D5577" w:rsidRPr="00713938" w:rsidRDefault="00EB5556" w:rsidP="00BF716C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  <w:lang w:val="nl"/>
              </w:rPr>
              <w:lastRenderedPageBreak/>
              <w:t xml:space="preserve">D istinguish </w:t>
            </w:r>
            <w:r>
              <w:rPr>
                <w:lang w:val="nl"/>
              </w:rPr>
              <w:t xml:space="preserve"> wat </w:t>
            </w:r>
            <w:r w:rsidRPr="00EB5556">
              <w:rPr>
                <w:szCs w:val="24"/>
                <w:shd w:val="clear" w:color="auto" w:fill="FFFFFF"/>
                <w:lang w:val="nl"/>
              </w:rPr>
              <w:t>haatzaaien is en wat andere fenomenen zoals pesten, verbaal geweld en anderen zijn.</w:t>
            </w:r>
          </w:p>
          <w:p w14:paraId="7746FC03" w14:textId="52C7F6B0" w:rsidR="007D5577" w:rsidRPr="009A7CF9" w:rsidRDefault="008E0FAC" w:rsidP="00BF716C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 w:rsidRPr="009A7CF9">
              <w:rPr>
                <w:color w:val="000000"/>
                <w:szCs w:val="24"/>
                <w:lang w:val="nl"/>
              </w:rPr>
              <w:t xml:space="preserve">Het vermogen om zowel de juridische als </w:t>
            </w:r>
            <w:r w:rsidRPr="009A7CF9">
              <w:rPr>
                <w:color w:val="000000"/>
                <w:szCs w:val="24"/>
                <w:lang w:val="nl"/>
              </w:rPr>
              <w:lastRenderedPageBreak/>
              <w:t>contextuele inzichten van haatzaaiende taal te tonen in vormen die gemakkelijk worden geabsorbeerd door meerdere instanties, groepen en individuen.</w:t>
            </w:r>
          </w:p>
          <w:p w14:paraId="4EDFFEF5" w14:textId="77777777" w:rsidR="00820690" w:rsidRPr="003F3088" w:rsidRDefault="00820690" w:rsidP="008E0FAC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199ACFB7" w14:textId="77777777" w:rsidR="0039458F" w:rsidRPr="003F3088" w:rsidRDefault="0039458F" w:rsidP="000D76A0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747EBCA1" w14:textId="77777777" w:rsidR="00E342E8" w:rsidRPr="003F3088" w:rsidRDefault="00E342E8" w:rsidP="000D76A0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742380ED" w14:textId="77777777" w:rsidR="0039458F" w:rsidRPr="0039458F" w:rsidRDefault="0039458F" w:rsidP="0039458F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  <w:p w14:paraId="1BAE7DBC" w14:textId="10FAE3A5" w:rsidR="00495CBF" w:rsidRDefault="00814ED5" w:rsidP="00BF716C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  <w:lang w:val="nl"/>
              </w:rPr>
              <w:t>Onderscheid de verschillende vormen van haatzaaien op basis van leeftijd, handicap</w:t>
            </w:r>
            <w:r>
              <w:rPr>
                <w:lang w:val="nl"/>
              </w:rPr>
              <w:t xml:space="preserve">, </w:t>
            </w:r>
            <w:r w:rsidR="00820690">
              <w:rPr>
                <w:szCs w:val="24"/>
                <w:shd w:val="clear" w:color="auto" w:fill="FFFFFF"/>
                <w:lang w:val="nl"/>
              </w:rPr>
              <w:t>nationaliteit, religie etc.</w:t>
            </w:r>
          </w:p>
          <w:p w14:paraId="2529B732" w14:textId="77777777" w:rsidR="00820690" w:rsidRDefault="00820690" w:rsidP="00820690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  <w:p w14:paraId="1414ADA4" w14:textId="77777777" w:rsidR="00820690" w:rsidRPr="00814ED5" w:rsidRDefault="00820690" w:rsidP="00820690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  <w:p w14:paraId="2DEFC275" w14:textId="77777777" w:rsidR="00495CBF" w:rsidRPr="003F3088" w:rsidRDefault="00495CBF" w:rsidP="007D5577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6399C359" w14:textId="77777777" w:rsidR="007D5577" w:rsidRDefault="007D5577" w:rsidP="00EB5556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  <w:p w14:paraId="1CE82080" w14:textId="77777777" w:rsidR="006E5BED" w:rsidRDefault="006E5BED" w:rsidP="00EB5556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  <w:p w14:paraId="103388F3" w14:textId="77777777" w:rsidR="006E5BED" w:rsidRDefault="006E5BED" w:rsidP="00EB5556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  <w:p w14:paraId="24197978" w14:textId="77777777" w:rsidR="006E5BED" w:rsidRDefault="006E5BED" w:rsidP="00EB5556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  <w:p w14:paraId="0055A400" w14:textId="77777777" w:rsidR="006E5BED" w:rsidRDefault="006E5BED" w:rsidP="00EB5556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  <w:p w14:paraId="70813856" w14:textId="77777777" w:rsidR="006E5BED" w:rsidRDefault="006E5BED" w:rsidP="00EB5556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  <w:p w14:paraId="285B3F1F" w14:textId="77777777" w:rsidR="006E5BED" w:rsidRDefault="006E5BED" w:rsidP="00EB5556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  <w:p w14:paraId="13C739C6" w14:textId="489DC925" w:rsidR="006E5BED" w:rsidRPr="003F3088" w:rsidRDefault="006E5BED" w:rsidP="0085213E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683A72BF" w14:textId="77777777" w:rsidR="0085213E" w:rsidRPr="003F3088" w:rsidRDefault="0085213E" w:rsidP="0085213E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37AEC25E" w14:textId="77777777" w:rsidR="006E5BED" w:rsidRDefault="006E5BED" w:rsidP="00BF716C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 w:rsidRPr="006E5BED">
              <w:rPr>
                <w:szCs w:val="24"/>
                <w:shd w:val="clear" w:color="auto" w:fill="FFFFFF"/>
                <w:lang w:val="nl"/>
              </w:rPr>
              <w:t>Jongeren moeten het</w:t>
            </w:r>
            <w:r>
              <w:rPr>
                <w:szCs w:val="24"/>
                <w:shd w:val="clear" w:color="auto" w:fill="FFFFFF"/>
                <w:lang w:val="nl"/>
              </w:rPr>
              <w:t>vermogen ontwikkelen om haatzaaiende uitlatingen te begrijpen via media, tv, games.</w:t>
            </w:r>
          </w:p>
          <w:p w14:paraId="4FBC8D48" w14:textId="77777777" w:rsidR="006E5BED" w:rsidRDefault="006E5BED" w:rsidP="00BF716C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  <w:lang w:val="nl"/>
              </w:rPr>
              <w:t>P</w:t>
            </w:r>
            <w:r w:rsidRPr="006E5BED">
              <w:rPr>
                <w:szCs w:val="24"/>
                <w:shd w:val="clear" w:color="auto" w:fill="FFFFFF"/>
                <w:lang w:val="nl"/>
              </w:rPr>
              <w:t xml:space="preserve">roper internetgebruik zonder andere mensen te beledigen en lastig te vallen </w:t>
            </w:r>
          </w:p>
          <w:p w14:paraId="30C21797" w14:textId="77777777" w:rsidR="00BF716C" w:rsidRPr="00BD5EAD" w:rsidRDefault="00BF716C" w:rsidP="00BF716C">
            <w:pPr>
              <w:pStyle w:val="ListParagraph"/>
              <w:numPr>
                <w:ilvl w:val="0"/>
                <w:numId w:val="5"/>
              </w:numPr>
            </w:pPr>
            <w:r>
              <w:rPr>
                <w:lang w:val="nl"/>
              </w:rPr>
              <w:t xml:space="preserve">Goede praktijken om online haatzaaiende uitlatingen te begrijpen </w:t>
            </w:r>
          </w:p>
          <w:p w14:paraId="4C8E43E6" w14:textId="0F56FF2A" w:rsidR="00BF716C" w:rsidRPr="006E5BED" w:rsidRDefault="00BF716C" w:rsidP="00BF716C">
            <w:pPr>
              <w:pStyle w:val="ListParagraph"/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</w:p>
        </w:tc>
        <w:tc>
          <w:tcPr>
            <w:tcW w:w="3159" w:type="dxa"/>
          </w:tcPr>
          <w:p w14:paraId="16CE991E" w14:textId="1D358D6E" w:rsidR="0091161F" w:rsidRDefault="0091161F" w:rsidP="0091161F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/>
                <w:color w:val="000000"/>
                <w:szCs w:val="24"/>
              </w:rPr>
            </w:pPr>
            <w:r>
              <w:rPr>
                <w:color w:val="000000"/>
                <w:szCs w:val="24"/>
                <w:lang w:val="nl"/>
              </w:rPr>
              <w:lastRenderedPageBreak/>
              <w:t>Bespreek het belang van de gevolgen van haatzaaien</w:t>
            </w:r>
          </w:p>
          <w:p w14:paraId="6279AC0F" w14:textId="5ED2EC6C" w:rsidR="0091161F" w:rsidRPr="0091161F" w:rsidRDefault="0091161F" w:rsidP="0091161F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/>
                <w:color w:val="000000"/>
                <w:szCs w:val="24"/>
              </w:rPr>
            </w:pPr>
            <w:r>
              <w:rPr>
                <w:color w:val="000000"/>
                <w:szCs w:val="24"/>
                <w:lang w:val="nl"/>
              </w:rPr>
              <w:t xml:space="preserve">Praten over preventie en vroegtijdige interventie </w:t>
            </w:r>
          </w:p>
          <w:p w14:paraId="7F7C8C93" w14:textId="77777777" w:rsidR="00713938" w:rsidRPr="0039458F" w:rsidRDefault="00713938" w:rsidP="0039458F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/>
                <w:color w:val="000000"/>
                <w:szCs w:val="24"/>
              </w:rPr>
            </w:pPr>
            <w:r w:rsidRPr="0039458F">
              <w:rPr>
                <w:color w:val="000000"/>
                <w:szCs w:val="24"/>
                <w:lang w:val="nl"/>
              </w:rPr>
              <w:t xml:space="preserve">Herken haatzaaiende uitlatingen en </w:t>
            </w:r>
            <w:r w:rsidRPr="0039458F">
              <w:rPr>
                <w:color w:val="000000"/>
                <w:szCs w:val="24"/>
                <w:lang w:val="nl"/>
              </w:rPr>
              <w:lastRenderedPageBreak/>
              <w:t>de impact van haatzaaiende uitlatingen, mogelijke uitkomsten en repercussies. In staat om zelf na te denken over eigen attitudes en die van anderen, evenals potentiële onbewuste vooroordelen te begrijpen.</w:t>
            </w:r>
          </w:p>
          <w:p w14:paraId="17EFA59D" w14:textId="6829E387" w:rsidR="007D5577" w:rsidRPr="00713938" w:rsidRDefault="00713938" w:rsidP="00713938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/>
                <w:color w:val="000000"/>
                <w:szCs w:val="24"/>
              </w:rPr>
            </w:pPr>
            <w:r w:rsidRPr="00713938">
              <w:rPr>
                <w:color w:val="000000"/>
                <w:szCs w:val="24"/>
                <w:lang w:val="nl"/>
              </w:rPr>
              <w:t>Vermogen om eerlijk, congruent te zijn op een gevoelige en diplomatieke manier</w:t>
            </w:r>
          </w:p>
          <w:p w14:paraId="5D39054B" w14:textId="77777777" w:rsidR="008E0FAC" w:rsidRPr="003F3088" w:rsidRDefault="008E0FAC" w:rsidP="0039458F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438D74E0" w14:textId="0C0686AC" w:rsidR="0039458F" w:rsidRPr="003F3088" w:rsidRDefault="0039458F" w:rsidP="003958B9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71692CD4" w14:textId="77777777" w:rsidR="003958B9" w:rsidRPr="003F3088" w:rsidRDefault="003958B9" w:rsidP="003958B9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nl-NL"/>
              </w:rPr>
            </w:pPr>
          </w:p>
          <w:p w14:paraId="0BC24307" w14:textId="5D59D928" w:rsidR="00303325" w:rsidRDefault="001A6CB6" w:rsidP="001A6CB6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 w:rsidRPr="001A6CB6">
              <w:rPr>
                <w:szCs w:val="24"/>
                <w:shd w:val="clear" w:color="auto" w:fill="FFFFFF"/>
                <w:lang w:val="nl"/>
              </w:rPr>
              <w:t xml:space="preserve">Jongeren moeten zich ervan bewust zijn dat alle vormen van </w:t>
            </w:r>
            <w:r>
              <w:rPr>
                <w:szCs w:val="24"/>
                <w:shd w:val="clear" w:color="auto" w:fill="FFFFFF"/>
                <w:lang w:val="nl"/>
              </w:rPr>
              <w:t xml:space="preserve">haatzaaien </w:t>
            </w:r>
            <w:r w:rsidRPr="001A6CB6">
              <w:rPr>
                <w:szCs w:val="24"/>
                <w:shd w:val="clear" w:color="auto" w:fill="FFFFFF"/>
                <w:lang w:val="nl"/>
              </w:rPr>
              <w:t xml:space="preserve">even </w:t>
            </w:r>
            <w:r w:rsidRPr="001A6CB6">
              <w:rPr>
                <w:szCs w:val="24"/>
                <w:shd w:val="clear" w:color="auto" w:fill="FFFFFF"/>
                <w:lang w:val="nl"/>
              </w:rPr>
              <w:lastRenderedPageBreak/>
              <w:t xml:space="preserve">belangrijk zijn </w:t>
            </w:r>
            <w:r>
              <w:rPr>
                <w:szCs w:val="24"/>
                <w:shd w:val="clear" w:color="auto" w:fill="FFFFFF"/>
                <w:lang w:val="nl"/>
              </w:rPr>
              <w:t>en dat het belangrijk</w:t>
            </w:r>
            <w:r w:rsidRPr="001A6CB6">
              <w:rPr>
                <w:szCs w:val="24"/>
                <w:shd w:val="clear" w:color="auto" w:fill="FFFFFF"/>
                <w:lang w:val="nl"/>
              </w:rPr>
              <w:t xml:space="preserve"> is</w:t>
            </w:r>
            <w:r>
              <w:rPr>
                <w:lang w:val="nl"/>
              </w:rPr>
              <w:t xml:space="preserve"> om ertegen </w:t>
            </w:r>
            <w:r w:rsidR="003958B9">
              <w:rPr>
                <w:szCs w:val="24"/>
                <w:shd w:val="clear" w:color="auto" w:fill="FFFFFF"/>
                <w:lang w:val="nl"/>
              </w:rPr>
              <w:t xml:space="preserve"> op te</w:t>
            </w:r>
            <w:r w:rsidRPr="001A6CB6">
              <w:rPr>
                <w:szCs w:val="24"/>
                <w:shd w:val="clear" w:color="auto" w:fill="FFFFFF"/>
                <w:lang w:val="nl"/>
              </w:rPr>
              <w:t xml:space="preserve"> staan.</w:t>
            </w:r>
          </w:p>
          <w:p w14:paraId="542B8761" w14:textId="77777777" w:rsidR="000371DA" w:rsidRDefault="000371DA" w:rsidP="000371DA">
            <w:pPr>
              <w:pStyle w:val="ListParagraph"/>
              <w:numPr>
                <w:ilvl w:val="0"/>
                <w:numId w:val="5"/>
              </w:numPr>
            </w:pPr>
            <w:r>
              <w:rPr>
                <w:lang w:val="nl"/>
              </w:rPr>
              <w:t>Inzicht</w:t>
            </w:r>
            <w:r w:rsidRPr="0010347D">
              <w:rPr>
                <w:lang w:val="nl"/>
              </w:rPr>
              <w:t xml:space="preserve">in hoe </w:t>
            </w:r>
            <w:r>
              <w:rPr>
                <w:lang w:val="nl"/>
              </w:rPr>
              <w:t xml:space="preserve">jongeren </w:t>
            </w:r>
            <w:r w:rsidRPr="00820690">
              <w:rPr>
                <w:lang w:val="nl"/>
              </w:rPr>
              <w:t>zich</w:t>
            </w:r>
            <w:r w:rsidRPr="0010347D">
              <w:rPr>
                <w:lang w:val="nl"/>
              </w:rPr>
              <w:t xml:space="preserve"> kunnen presenteren  binnen de context</w:t>
            </w:r>
            <w:r>
              <w:rPr>
                <w:lang w:val="nl"/>
              </w:rPr>
              <w:t>van specifieke geëngageerde groepen.</w:t>
            </w:r>
          </w:p>
          <w:p w14:paraId="1787ACFA" w14:textId="77777777" w:rsidR="000371DA" w:rsidRDefault="000371DA" w:rsidP="000371DA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sl-SI"/>
              </w:rPr>
            </w:pPr>
          </w:p>
          <w:p w14:paraId="4B03A792" w14:textId="77777777" w:rsidR="006E5BED" w:rsidRDefault="006E5BED" w:rsidP="000371DA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sl-SI"/>
              </w:rPr>
            </w:pPr>
          </w:p>
          <w:p w14:paraId="66406115" w14:textId="77777777" w:rsidR="006E5BED" w:rsidRDefault="006E5BED" w:rsidP="000371DA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sl-SI"/>
              </w:rPr>
            </w:pPr>
          </w:p>
          <w:p w14:paraId="4ED942B0" w14:textId="77777777" w:rsidR="006E5BED" w:rsidRDefault="006E5BED" w:rsidP="000371DA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sl-SI"/>
              </w:rPr>
            </w:pPr>
          </w:p>
          <w:p w14:paraId="7FE02E87" w14:textId="77777777" w:rsidR="006E5BED" w:rsidRDefault="006E5BED" w:rsidP="000371DA">
            <w:pPr>
              <w:spacing w:before="40" w:afterLines="40" w:after="96"/>
              <w:rPr>
                <w:rFonts w:cstheme="minorHAnsi"/>
                <w:szCs w:val="24"/>
                <w:shd w:val="clear" w:color="auto" w:fill="FFFFFF"/>
                <w:lang w:val="sl-SI"/>
              </w:rPr>
            </w:pPr>
          </w:p>
          <w:p w14:paraId="0CE3DF98" w14:textId="77777777" w:rsidR="006E5BED" w:rsidRDefault="006E5BED" w:rsidP="006E5BED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 w:rsidRPr="006E5BED">
              <w:rPr>
                <w:szCs w:val="24"/>
                <w:shd w:val="clear" w:color="auto" w:fill="FFFFFF"/>
                <w:lang w:val="nl"/>
              </w:rPr>
              <w:t>Inzicht in de impact van haatzaaien op zowel media als games.</w:t>
            </w:r>
          </w:p>
          <w:p w14:paraId="08CFAD58" w14:textId="60761BA5" w:rsidR="006E5BED" w:rsidRPr="006E5BED" w:rsidRDefault="006E5BED" w:rsidP="006E5BED">
            <w:pPr>
              <w:pStyle w:val="ListParagraph"/>
              <w:numPr>
                <w:ilvl w:val="0"/>
                <w:numId w:val="5"/>
              </w:numPr>
              <w:spacing w:before="40" w:afterLines="40" w:after="96"/>
              <w:rPr>
                <w:rFonts w:eastAsia="Calibri" w:cstheme="minorHAnsi"/>
                <w:szCs w:val="24"/>
                <w:shd w:val="clear" w:color="auto" w:fill="FFFFFF"/>
              </w:rPr>
            </w:pPr>
            <w:r w:rsidRPr="006E5BED">
              <w:rPr>
                <w:szCs w:val="24"/>
                <w:shd w:val="clear" w:color="auto" w:fill="FFFFFF"/>
                <w:lang w:val="nl"/>
              </w:rPr>
              <w:t xml:space="preserve">Het internet beïnvloedt mensen, dus we moeten ons bewust zijn van de gevolgen </w:t>
            </w:r>
          </w:p>
        </w:tc>
      </w:tr>
    </w:tbl>
    <w:p w14:paraId="1E974828" w14:textId="3BB820D9" w:rsidR="004A4D5A" w:rsidRPr="003F3088" w:rsidRDefault="004A4D5A">
      <w:pPr>
        <w:rPr>
          <w:b/>
          <w:bCs/>
          <w:lang w:val="nl-NL"/>
        </w:rPr>
      </w:pPr>
    </w:p>
    <w:sectPr w:rsidR="004A4D5A" w:rsidRPr="003F308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9BB8A" w14:textId="77777777" w:rsidR="00BA2598" w:rsidRDefault="00BA2598" w:rsidP="005C6718">
      <w:pPr>
        <w:spacing w:after="0" w:line="240" w:lineRule="auto"/>
      </w:pPr>
      <w:r>
        <w:rPr>
          <w:lang w:val="nl"/>
        </w:rPr>
        <w:separator/>
      </w:r>
    </w:p>
  </w:endnote>
  <w:endnote w:type="continuationSeparator" w:id="0">
    <w:p w14:paraId="06D5FB04" w14:textId="77777777" w:rsidR="00BA2598" w:rsidRDefault="00BA2598" w:rsidP="005C6718">
      <w:pPr>
        <w:spacing w:after="0" w:line="240" w:lineRule="auto"/>
      </w:pPr>
      <w:r>
        <w:rPr>
          <w:lang w:val="n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B17C8" w14:textId="333FE6BB" w:rsidR="005C6718" w:rsidRPr="003F3088" w:rsidRDefault="00F549F8" w:rsidP="00F549F8">
    <w:pPr>
      <w:pStyle w:val="Footer"/>
      <w:tabs>
        <w:tab w:val="clear" w:pos="4680"/>
        <w:tab w:val="clear" w:pos="9360"/>
        <w:tab w:val="left" w:pos="1320"/>
      </w:tabs>
      <w:rPr>
        <w:rFonts w:cstheme="minorHAnsi"/>
        <w:color w:val="595959" w:themeColor="text1" w:themeTint="A6"/>
        <w:sz w:val="16"/>
        <w:szCs w:val="16"/>
        <w:lang w:val="nl-NL"/>
      </w:rPr>
    </w:pPr>
    <w:r>
      <w:rPr>
        <w:rFonts w:cstheme="minorHAnsi"/>
        <w:noProof/>
        <w:color w:val="595959" w:themeColor="text1" w:themeTint="A6"/>
        <w:sz w:val="16"/>
        <w:szCs w:val="16"/>
        <w:lang w:val="nl-NL"/>
      </w:rPr>
      <w:drawing>
        <wp:anchor distT="0" distB="0" distL="114300" distR="114300" simplePos="0" relativeHeight="251662336" behindDoc="1" locked="0" layoutInCell="1" allowOverlap="1" wp14:anchorId="3864A2CB" wp14:editId="391E24F3">
          <wp:simplePos x="0" y="0"/>
          <wp:positionH relativeFrom="column">
            <wp:posOffset>76200</wp:posOffset>
          </wp:positionH>
          <wp:positionV relativeFrom="paragraph">
            <wp:posOffset>-255905</wp:posOffset>
          </wp:positionV>
          <wp:extent cx="5943600" cy="978535"/>
          <wp:effectExtent l="0" t="0" r="0" b="0"/>
          <wp:wrapNone/>
          <wp:docPr id="4" name="Picture 4" descr="A close up of a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close up of a messa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78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6718">
      <w:rPr>
        <w:noProof/>
        <w:color w:val="000000" w:themeColor="text1"/>
        <w:sz w:val="16"/>
        <w:szCs w:val="16"/>
        <w:lang w:val="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121B5C" wp14:editId="30B091F5">
              <wp:simplePos x="0" y="0"/>
              <wp:positionH relativeFrom="column">
                <wp:posOffset>-19051</wp:posOffset>
              </wp:positionH>
              <wp:positionV relativeFrom="paragraph">
                <wp:posOffset>-635</wp:posOffset>
              </wp:positionV>
              <wp:extent cx="58578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sdtdh="http://schemas.microsoft.com/office/word/2020/wordml/sdtdatahash">
          <w:pict>
            <v:line w14:anchorId="60088A9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.05pt" to="45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G4KmgEAAJQDAAAOAAAAZHJzL2Uyb0RvYy54bWysU9tO4zAQfV+Jf7D8TpMidamipjyA4AUt&#10;aC8fYJxxY8k3jU2T/j1jt01XgIRAvDi+zDkz58xkdTVaw7aAUXvX8vms5gyc9J12m5b/+3t7vuQs&#10;JuE6YbyDlu8g8qv12Y/VEBq48L03HSAjEhebIbS8Tyk0VRVlD1bEmQ/g6FF5tCLRETdVh2Igdmuq&#10;i7r+WQ0eu4BeQox0e7N/5OvCrxTI9KBUhMRMy6m2VFYs61Neq/VKNBsUodfyUIb4QhVWaEdJJ6ob&#10;kQR7Rv2GymqJPnqVZtLbyiulJRQNpGZev1LzpxcBihYyJ4bJpvh9tPLX9to9ItkwhNjE8IhZxajQ&#10;5i/Vx8Zi1m4yC8bEJF0ulovL5eWCM3l8q07AgDHdgbcsb1putMs6RCO29zFRMgo9htDhlLrs0s5A&#10;DjbuNyimO0o2L+gyFXBtkG0F9VNICS7Ncw+Jr0RnmNLGTMD6Y+AhPkOhTMxnwBOiZPYuTWCrncf3&#10;sqfxWLLaxx8d2OvOFjz5bleaUqyh1heFhzHNs/X/ucBPP9P6BQAA//8DAFBLAwQUAAYACAAAACEA&#10;2bbMQt4AAAAGAQAADwAAAGRycy9kb3ducmV2LnhtbEyPQUvDQBCF74L/YRnBW7tJRbExm1IKYi1I&#10;sRba4zY7JtHsbNjdNum/d+pFT4/HG977Jp8NthUn9KFxpCAdJyCQSmcaqhRsP55HjyBC1GR06wgV&#10;nDHArLi+ynVmXE/veNrESnAJhUwrqGPsMilDWaPVYew6JM4+nbc6svWVNF73XG5bOUmSB2l1Q7xQ&#10;6w4XNZbfm6NV8OaXy8V8df6i9d72u8lqt34dXpS6vRnmTyAiDvHvGC74jA4FMx3ckUwQrYLRHb8S&#10;WVMQHE/T6T2Iw6+XRS7/4xc/AAAA//8DAFBLAQItABQABgAIAAAAIQC2gziS/gAAAOEBAAATAAAA&#10;AAAAAAAAAAAAAAAAAABbQ29udGVudF9UeXBlc10ueG1sUEsBAi0AFAAGAAgAAAAhADj9If/WAAAA&#10;lAEAAAsAAAAAAAAAAAAAAAAALwEAAF9yZWxzLy5yZWxzUEsBAi0AFAAGAAgAAAAhACzYbgqaAQAA&#10;lAMAAA4AAAAAAAAAAAAAAAAALgIAAGRycy9lMm9Eb2MueG1sUEsBAi0AFAAGAAgAAAAhANm2zELe&#10;AAAABgEAAA8AAAAAAAAAAAAAAAAA9AMAAGRycy9kb3ducmV2LnhtbFBLBQYAAAAABAAEAPMAAAD/&#10;BAAAAAA=&#10;" strokecolor="#5b9bd5 [3204]" strokeweight=".5pt">
              <v:stroke joinstyle="miter"/>
            </v:line>
          </w:pict>
        </mc:Fallback>
      </mc:AlternateContent>
    </w:r>
    <w:r>
      <w:rPr>
        <w:rFonts w:cstheme="minorHAnsi"/>
        <w:color w:val="595959" w:themeColor="text1" w:themeTint="A6"/>
        <w:sz w:val="16"/>
        <w:szCs w:val="16"/>
        <w:lang w:val="nl-N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41A93B" w14:textId="77777777" w:rsidR="00BA2598" w:rsidRDefault="00BA2598" w:rsidP="005C6718">
      <w:pPr>
        <w:spacing w:after="0" w:line="240" w:lineRule="auto"/>
      </w:pPr>
      <w:r>
        <w:rPr>
          <w:lang w:val="nl"/>
        </w:rPr>
        <w:separator/>
      </w:r>
    </w:p>
  </w:footnote>
  <w:footnote w:type="continuationSeparator" w:id="0">
    <w:p w14:paraId="727A22A0" w14:textId="77777777" w:rsidR="00BA2598" w:rsidRDefault="00BA2598" w:rsidP="005C6718">
      <w:pPr>
        <w:spacing w:after="0" w:line="240" w:lineRule="auto"/>
      </w:pPr>
      <w:r>
        <w:rPr>
          <w:lang w:val="nl"/>
        </w:rPr>
        <w:continuationSeparator/>
      </w:r>
    </w:p>
  </w:footnote>
  <w:footnote w:id="1">
    <w:p w14:paraId="1AB4A1F6" w14:textId="77777777" w:rsidR="004A4D5A" w:rsidRPr="003F3088" w:rsidRDefault="004A4D5A" w:rsidP="004A4D5A">
      <w:pPr>
        <w:pStyle w:val="FootnoteText"/>
        <w:rPr>
          <w:lang w:val="nl-NL"/>
        </w:rPr>
      </w:pPr>
      <w:r>
        <w:rPr>
          <w:rStyle w:val="FootnoteReference"/>
          <w:lang w:val="nl"/>
        </w:rPr>
        <w:footnoteRef/>
      </w:r>
      <w:r w:rsidRPr="00CB5240">
        <w:rPr>
          <w:lang w:val="nl"/>
        </w:rPr>
        <w:t xml:space="preserve"> Definitie van kennis, vaardigheden en attitudes volgens het Europees referentiekader voor sleutelcompetenties voor een leven lang leren: </w:t>
      </w:r>
      <w:hyperlink r:id="rId1" w:history="1">
        <w:r w:rsidRPr="00CB5240">
          <w:rPr>
            <w:rStyle w:val="Hyperlink"/>
            <w:lang w:val="nl"/>
          </w:rPr>
          <w:t>https://eur-lex.europa.eu/legal-content/NL/TXT/PDF/?uri=CELEX:32018H0604(01)&amp;rid=7</w:t>
        </w:r>
      </w:hyperlink>
      <w:r w:rsidRPr="00CB5240">
        <w:rPr>
          <w:lang w:val="nl"/>
        </w:rPr>
        <w:t xml:space="preserve"> [27.06.2019]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256FC" w14:textId="0C4711B1" w:rsidR="00812D94" w:rsidRDefault="00EB6052" w:rsidP="00812D94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D7E6B80" wp14:editId="74BD7A04">
          <wp:simplePos x="0" y="0"/>
          <wp:positionH relativeFrom="column">
            <wp:posOffset>4673600</wp:posOffset>
          </wp:positionH>
          <wp:positionV relativeFrom="paragraph">
            <wp:posOffset>-228600</wp:posOffset>
          </wp:positionV>
          <wp:extent cx="2057400" cy="584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72A3183C" wp14:editId="56D8A5A2">
          <wp:simplePos x="0" y="0"/>
          <wp:positionH relativeFrom="column">
            <wp:posOffset>-787400</wp:posOffset>
          </wp:positionH>
          <wp:positionV relativeFrom="paragraph">
            <wp:posOffset>-431165</wp:posOffset>
          </wp:positionV>
          <wp:extent cx="1079500" cy="901700"/>
          <wp:effectExtent l="0" t="0" r="0" b="0"/>
          <wp:wrapNone/>
          <wp:docPr id="1" name="Picture 1" descr="A colorful circle with a white letter y i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olorful circle with a white letter y in i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A25E11" w14:textId="683E7E0F" w:rsidR="00812D94" w:rsidRDefault="00812D94" w:rsidP="00812D9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57381"/>
    <w:multiLevelType w:val="hybridMultilevel"/>
    <w:tmpl w:val="39A85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62A6D"/>
    <w:multiLevelType w:val="hybridMultilevel"/>
    <w:tmpl w:val="144052B0"/>
    <w:lvl w:ilvl="0" w:tplc="91086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218F8"/>
    <w:multiLevelType w:val="hybridMultilevel"/>
    <w:tmpl w:val="28B29F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8454D"/>
    <w:multiLevelType w:val="hybridMultilevel"/>
    <w:tmpl w:val="CD7EDF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7F1FD6"/>
    <w:multiLevelType w:val="hybridMultilevel"/>
    <w:tmpl w:val="9BAA41A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B323D29"/>
    <w:multiLevelType w:val="hybridMultilevel"/>
    <w:tmpl w:val="B3183B84"/>
    <w:lvl w:ilvl="0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136D"/>
    <w:rsid w:val="000024E6"/>
    <w:rsid w:val="000121C2"/>
    <w:rsid w:val="000371DA"/>
    <w:rsid w:val="00056412"/>
    <w:rsid w:val="00083AE3"/>
    <w:rsid w:val="000A3E52"/>
    <w:rsid w:val="000D4FD5"/>
    <w:rsid w:val="000D76A0"/>
    <w:rsid w:val="000E052A"/>
    <w:rsid w:val="0010347D"/>
    <w:rsid w:val="001871E8"/>
    <w:rsid w:val="001A427C"/>
    <w:rsid w:val="001A6CB6"/>
    <w:rsid w:val="001D5B68"/>
    <w:rsid w:val="00264DB9"/>
    <w:rsid w:val="0027754B"/>
    <w:rsid w:val="0028448C"/>
    <w:rsid w:val="002B0172"/>
    <w:rsid w:val="00303325"/>
    <w:rsid w:val="00326837"/>
    <w:rsid w:val="0033136D"/>
    <w:rsid w:val="00362BC7"/>
    <w:rsid w:val="003652C8"/>
    <w:rsid w:val="00385A25"/>
    <w:rsid w:val="0039458F"/>
    <w:rsid w:val="003958B9"/>
    <w:rsid w:val="003F3088"/>
    <w:rsid w:val="004362DD"/>
    <w:rsid w:val="00485487"/>
    <w:rsid w:val="00495CBF"/>
    <w:rsid w:val="004A4D5A"/>
    <w:rsid w:val="004F5576"/>
    <w:rsid w:val="00501C0A"/>
    <w:rsid w:val="00581E03"/>
    <w:rsid w:val="005A0A2B"/>
    <w:rsid w:val="005C4DE5"/>
    <w:rsid w:val="005C6718"/>
    <w:rsid w:val="005E5535"/>
    <w:rsid w:val="00647B4A"/>
    <w:rsid w:val="00655717"/>
    <w:rsid w:val="00691C92"/>
    <w:rsid w:val="0069463A"/>
    <w:rsid w:val="006E5BED"/>
    <w:rsid w:val="007023CB"/>
    <w:rsid w:val="0071307D"/>
    <w:rsid w:val="00713938"/>
    <w:rsid w:val="00722FF1"/>
    <w:rsid w:val="00730E47"/>
    <w:rsid w:val="00732B1A"/>
    <w:rsid w:val="00752E41"/>
    <w:rsid w:val="00771C7B"/>
    <w:rsid w:val="00775319"/>
    <w:rsid w:val="007D5577"/>
    <w:rsid w:val="007F403A"/>
    <w:rsid w:val="00812D94"/>
    <w:rsid w:val="00814ED5"/>
    <w:rsid w:val="00820690"/>
    <w:rsid w:val="00842604"/>
    <w:rsid w:val="0085213E"/>
    <w:rsid w:val="008912F6"/>
    <w:rsid w:val="008B32C6"/>
    <w:rsid w:val="008B501A"/>
    <w:rsid w:val="008E0FAC"/>
    <w:rsid w:val="008F2546"/>
    <w:rsid w:val="0091161F"/>
    <w:rsid w:val="00937657"/>
    <w:rsid w:val="00974236"/>
    <w:rsid w:val="009829EA"/>
    <w:rsid w:val="00990081"/>
    <w:rsid w:val="009A7CF9"/>
    <w:rsid w:val="009B127B"/>
    <w:rsid w:val="009B42A9"/>
    <w:rsid w:val="009B728B"/>
    <w:rsid w:val="009E0989"/>
    <w:rsid w:val="00A1708E"/>
    <w:rsid w:val="00A4254B"/>
    <w:rsid w:val="00A7582E"/>
    <w:rsid w:val="00A84C5B"/>
    <w:rsid w:val="00AA672C"/>
    <w:rsid w:val="00AC25FA"/>
    <w:rsid w:val="00B04486"/>
    <w:rsid w:val="00B62091"/>
    <w:rsid w:val="00BA2598"/>
    <w:rsid w:val="00BA7EB3"/>
    <w:rsid w:val="00BB65AC"/>
    <w:rsid w:val="00BD5EAD"/>
    <w:rsid w:val="00BF716C"/>
    <w:rsid w:val="00C51E29"/>
    <w:rsid w:val="00C7641D"/>
    <w:rsid w:val="00CE3292"/>
    <w:rsid w:val="00D07D54"/>
    <w:rsid w:val="00D5258B"/>
    <w:rsid w:val="00E00BC8"/>
    <w:rsid w:val="00E342E8"/>
    <w:rsid w:val="00E61954"/>
    <w:rsid w:val="00EB08F8"/>
    <w:rsid w:val="00EB5556"/>
    <w:rsid w:val="00EB6052"/>
    <w:rsid w:val="00ED02A8"/>
    <w:rsid w:val="00EE238A"/>
    <w:rsid w:val="00F060BE"/>
    <w:rsid w:val="00F549F8"/>
    <w:rsid w:val="00FC0C49"/>
    <w:rsid w:val="00FD145A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71565"/>
  <w15:docId w15:val="{C8BD7755-FBE5-4AE3-8523-7B08ED9F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2DD"/>
    <w:pPr>
      <w:spacing w:before="120" w:after="120" w:line="276" w:lineRule="auto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718"/>
  </w:style>
  <w:style w:type="paragraph" w:styleId="Footer">
    <w:name w:val="footer"/>
    <w:basedOn w:val="Normal"/>
    <w:link w:val="FooterChar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718"/>
  </w:style>
  <w:style w:type="character" w:styleId="Hyperlink">
    <w:name w:val="Hyperlink"/>
    <w:basedOn w:val="DefaultParagraphFont"/>
    <w:uiPriority w:val="99"/>
    <w:unhideWhenUsed/>
    <w:rsid w:val="004362DD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362DD"/>
    <w:pPr>
      <w:spacing w:before="100" w:after="0" w:line="240" w:lineRule="auto"/>
    </w:pPr>
    <w:rPr>
      <w:rFonts w:eastAsiaTheme="minorEastAsia"/>
      <w:sz w:val="20"/>
      <w:szCs w:val="20"/>
      <w:lang w:val="sl-S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362DD"/>
    <w:rPr>
      <w:rFonts w:eastAsiaTheme="minorEastAsia"/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4362DD"/>
    <w:rPr>
      <w:vertAlign w:val="superscript"/>
    </w:rPr>
  </w:style>
  <w:style w:type="paragraph" w:styleId="ListParagraph">
    <w:name w:val="List Paragraph"/>
    <w:basedOn w:val="Normal"/>
    <w:uiPriority w:val="34"/>
    <w:qFormat/>
    <w:rsid w:val="004362DD"/>
    <w:pPr>
      <w:spacing w:before="100" w:after="200"/>
      <w:ind w:left="720"/>
      <w:contextualSpacing/>
    </w:pPr>
    <w:rPr>
      <w:rFonts w:eastAsiaTheme="minorEastAsia"/>
      <w:szCs w:val="20"/>
      <w:lang w:val="sl-SI"/>
    </w:rPr>
  </w:style>
  <w:style w:type="table" w:styleId="TableGrid">
    <w:name w:val="Table Grid"/>
    <w:basedOn w:val="TableNormal"/>
    <w:uiPriority w:val="39"/>
    <w:rsid w:val="004362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691C92"/>
  </w:style>
  <w:style w:type="character" w:customStyle="1" w:styleId="eop">
    <w:name w:val="eop"/>
    <w:basedOn w:val="DefaultParagraphFont"/>
    <w:rsid w:val="000121C2"/>
  </w:style>
  <w:style w:type="character" w:styleId="PlaceholderText">
    <w:name w:val="Placeholder Text"/>
    <w:basedOn w:val="DefaultParagraphFont"/>
    <w:uiPriority w:val="99"/>
    <w:semiHidden/>
    <w:rsid w:val="003F30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95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32018H0604(01)&amp;rid=7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1C729212F9BD49A9AEDF344C2CE3D4" ma:contentTypeVersion="13" ma:contentTypeDescription="Create a new document." ma:contentTypeScope="" ma:versionID="f6e29c3967be97bd8ca9830623598710">
  <xsd:schema xmlns:xsd="http://www.w3.org/2001/XMLSchema" xmlns:xs="http://www.w3.org/2001/XMLSchema" xmlns:p="http://schemas.microsoft.com/office/2006/metadata/properties" xmlns:ns2="4f1b5ae3-ae6c-4686-9490-43d6b6f54662" xmlns:ns3="d959e225-c2c9-4b03-bb9c-4b33f00881df" targetNamespace="http://schemas.microsoft.com/office/2006/metadata/properties" ma:root="true" ma:fieldsID="1bb24356aee8e59f3d72ea9e7604d723" ns2:_="" ns3:_="">
    <xsd:import namespace="4f1b5ae3-ae6c-4686-9490-43d6b6f54662"/>
    <xsd:import namespace="d959e225-c2c9-4b03-bb9c-4b33f0088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1b5ae3-ae6c-4686-9490-43d6b6f5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9e225-c2c9-4b03-bb9c-4b33f00881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6436B5-DF44-4B7C-AD33-5FC6ECD9E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1b5ae3-ae6c-4686-9490-43d6b6f54662"/>
    <ds:schemaRef ds:uri="d959e225-c2c9-4b03-bb9c-4b33f0088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040F49-6B28-47D0-BB41-A776F2A88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1ECA2F-6A8D-4C0E-AEEF-EA3729F952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Andry Moustras</cp:lastModifiedBy>
  <cp:revision>3</cp:revision>
  <dcterms:created xsi:type="dcterms:W3CDTF">2022-02-16T13:42:00Z</dcterms:created>
  <dcterms:modified xsi:type="dcterms:W3CDTF">2023-07-26T14:37:00Z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0x010100CB1C729212F9BD49A9AEDF344C2CE3D4</vt:lpwstr>
  </property>
</Properties>
</file>